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76" w:lineRule="auto"/>
        <w:ind w:left="0" w:right="0"/>
        <w:jc w:val="center"/>
        <w:rPr>
          <w:rFonts w:hint="default" w:ascii="Times New Roman" w:hAnsi="Times New Roman" w:eastAsia="华文楷体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华文楷体" w:cs="华文楷体"/>
          <w:kern w:val="2"/>
          <w:sz w:val="32"/>
          <w:szCs w:val="32"/>
          <w:lang w:val="en-US" w:eastAsia="zh-CN" w:bidi="ar"/>
        </w:rPr>
        <w:t>万达开川渝统筹发展研究中心</w:t>
      </w:r>
      <w:r>
        <w:rPr>
          <w:rFonts w:hint="default" w:ascii="Times New Roman" w:hAnsi="Times New Roman" w:eastAsia="华文楷体" w:cs="Times New Roman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华文楷体" w:cs="华文楷体"/>
          <w:kern w:val="2"/>
          <w:sz w:val="32"/>
          <w:szCs w:val="32"/>
          <w:lang w:val="en-US" w:eastAsia="zh-CN" w:bidi="ar"/>
        </w:rPr>
        <w:t>年度项目课题指南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.以中国式现代化全面推进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振兴发展的理论与实践研究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数字经济与实体经济融合发展路径研究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绿色经济、低碳经济与生态文明建设研究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现代化产业集群选择与培育机制研究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川渝万达开地区共创国家级产业转移承接示范区研究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.新时代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乡村基层治理研究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华文楷体" w:cs="Times New Roman"/>
          <w:sz w:val="28"/>
          <w:szCs w:val="28"/>
          <w:lang w:val="en-US"/>
        </w:rPr>
        <w:t>7.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/>
        </w:rPr>
        <w:t>川渝万达开地区共创国家级技术创新中心研究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华文楷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华文楷体" w:cs="Times New Roman"/>
          <w:sz w:val="28"/>
          <w:szCs w:val="28"/>
          <w:lang w:val="en-US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/>
        </w:rPr>
        <w:t>川渝万达开地区协同发展高效特色农业研究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.乡村振兴视域下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壮大农村集体经济的短板制约、模式创新与政策支持研究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10.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医疗保障与医疗服务高质量协同发展研究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特色农产品开发和利用研究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13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文旅助力乡村振兴系列案例资料收集整理及研究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14.川浙东西部扶贫协作项目助力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振兴发展研究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乡村搁荒耕地空间格局及分类利用研究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劳动力人口回乡创业就业政策支持体系研究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华文楷体" w:cs="华文楷体"/>
          <w:sz w:val="28"/>
          <w:szCs w:val="28"/>
          <w:lang w:eastAsia="zh-CN" w:bidi="ar"/>
        </w:rPr>
        <w:t>川渝万达开地区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红色文化资源的挖掘与应用研究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78" w:lineRule="exact"/>
        <w:ind w:left="0" w:firstLine="560" w:firstLineChars="200"/>
        <w:jc w:val="both"/>
      </w:pPr>
      <w:r>
        <w:rPr>
          <w:rFonts w:hint="eastAsia" w:ascii="Times New Roman" w:hAnsi="Times New Roman" w:eastAsia="华文楷体" w:cs="华文楷体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华文楷体" w:cs="华文楷体"/>
          <w:sz w:val="28"/>
          <w:szCs w:val="28"/>
          <w:lang w:val="en-US" w:eastAsia="zh-CN"/>
        </w:rPr>
        <w:t>.四川革命老区不可移动革命文物保护与开发应用研究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TIyZmRkOWMwMzRiZjFmNzhlNTk2ZjhhMWM2ZjEifQ=="/>
  </w:docVars>
  <w:rsids>
    <w:rsidRoot w:val="2CE949B8"/>
    <w:rsid w:val="025F4CFF"/>
    <w:rsid w:val="09626B1A"/>
    <w:rsid w:val="2115489E"/>
    <w:rsid w:val="21921810"/>
    <w:rsid w:val="2CE949B8"/>
    <w:rsid w:val="30420F9B"/>
    <w:rsid w:val="390B164D"/>
    <w:rsid w:val="50891250"/>
    <w:rsid w:val="6BF26950"/>
    <w:rsid w:val="7C03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150" w:afterAutospacing="0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365</Characters>
  <Lines>0</Lines>
  <Paragraphs>0</Paragraphs>
  <TotalTime>14</TotalTime>
  <ScaleCrop>false</ScaleCrop>
  <LinksUpToDate>false</LinksUpToDate>
  <CharactersWithSpaces>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2024-05-21T08:54:00Z</dcterms:created>
  <dc:creator>川革老杜成慧</dc:creator>
  <cp:lastModifiedBy>川革老杜成慧</cp:lastModifiedBy>
  <cp:lastPrinted>2024-05-21T09:23:21Z</cp:lastPrinted>
  <dcterms:modified xsi:type="dcterms:W3CDTF">2024-05-21T09:34:37Z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291B7A942B6A4D8483CAA3E6F69573F3_11</vt:lpwstr>
  </property>
</Properties>
</file>